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53"/>
          <w:tab w:val="right" w:pos="8306"/>
        </w:tabs>
        <w:spacing w:line="240" w:lineRule="auto"/>
        <w:ind w:left="0" w:leftChars="0" w:firstLine="0" w:firstLineChars="0"/>
        <w:jc w:val="center"/>
        <w:rPr>
          <w:rFonts w:hint="default" w:ascii="Times New Roman" w:hAnsi="Times New Roman" w:eastAsia="宋体" w:cs="Times New Roman"/>
          <w:b/>
          <w:bCs/>
          <w:color w:val="auto"/>
          <w:sz w:val="36"/>
          <w:szCs w:val="36"/>
          <w:highlight w:val="none"/>
          <w:lang w:eastAsia="zh-CN" w:bidi="en-US"/>
        </w:rPr>
      </w:pPr>
      <w:bookmarkStart w:id="0" w:name="_Toc6832"/>
      <w:bookmarkStart w:id="1" w:name="_Toc3842"/>
      <w:bookmarkStart w:id="2" w:name="_Toc16604"/>
      <w:bookmarkStart w:id="3" w:name="_Toc4880"/>
      <w:r>
        <w:rPr>
          <w:rFonts w:hint="default" w:ascii="Times New Roman" w:hAnsi="Times New Roman" w:eastAsia="宋体" w:cs="Times New Roman"/>
          <w:b/>
          <w:bCs/>
          <w:color w:val="auto"/>
          <w:sz w:val="36"/>
          <w:szCs w:val="36"/>
          <w:highlight w:val="none"/>
          <w:lang w:val="en-US" w:eastAsia="zh-CN" w:bidi="en-US"/>
        </w:rPr>
        <w:t>北京市丰台区东铁营棚户区改造和环境整治项目FT00-0512-0010</w:t>
      </w:r>
      <w:r>
        <w:rPr>
          <w:rFonts w:hint="eastAsia" w:ascii="Times New Roman" w:hAnsi="Times New Roman" w:eastAsia="宋体" w:cs="Times New Roman"/>
          <w:b/>
          <w:bCs/>
          <w:color w:val="auto"/>
          <w:sz w:val="36"/>
          <w:szCs w:val="36"/>
          <w:highlight w:val="none"/>
          <w:lang w:val="en-US" w:eastAsia="zh-CN" w:bidi="en-US"/>
        </w:rPr>
        <w:t>、</w:t>
      </w:r>
      <w:r>
        <w:rPr>
          <w:rFonts w:hint="default" w:ascii="Times New Roman" w:hAnsi="Times New Roman" w:eastAsia="宋体" w:cs="Times New Roman"/>
          <w:b/>
          <w:bCs/>
          <w:color w:val="auto"/>
          <w:sz w:val="36"/>
          <w:szCs w:val="36"/>
          <w:highlight w:val="none"/>
          <w:lang w:val="en-US" w:eastAsia="zh-CN" w:bidi="en-US"/>
        </w:rPr>
        <w:t>FT00-0512-0015地块R2二类居住用地</w:t>
      </w:r>
      <w:r>
        <w:rPr>
          <w:rFonts w:hint="default" w:ascii="Times New Roman" w:hAnsi="Times New Roman" w:eastAsia="宋体" w:cs="Times New Roman"/>
          <w:b/>
          <w:bCs/>
          <w:color w:val="auto"/>
          <w:sz w:val="36"/>
          <w:szCs w:val="36"/>
          <w:highlight w:val="none"/>
          <w:lang w:eastAsia="zh-CN" w:bidi="en-US"/>
        </w:rPr>
        <w:t>国有建设用地使用权</w:t>
      </w:r>
      <w:bookmarkStart w:id="4" w:name="_Toc41366787"/>
      <w:bookmarkStart w:id="5" w:name="_Toc41366853"/>
    </w:p>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val="0"/>
          <w:color w:val="auto"/>
          <w:sz w:val="36"/>
          <w:szCs w:val="36"/>
          <w:highlight w:val="none"/>
        </w:rPr>
      </w:pPr>
      <w:r>
        <w:rPr>
          <w:rFonts w:hint="default" w:ascii="Times New Roman" w:hAnsi="Times New Roman" w:eastAsia="宋体" w:cs="Times New Roman"/>
          <w:b/>
          <w:bCs/>
          <w:color w:val="auto"/>
          <w:sz w:val="36"/>
          <w:szCs w:val="36"/>
          <w:highlight w:val="none"/>
          <w:lang w:eastAsia="zh-CN" w:bidi="en-US"/>
        </w:rPr>
        <w:t>挂牌</w:t>
      </w:r>
      <w:bookmarkStart w:id="6" w:name="_Toc11484"/>
      <w:r>
        <w:rPr>
          <w:rFonts w:hint="default" w:ascii="Times New Roman" w:hAnsi="Times New Roman" w:eastAsia="宋体" w:cs="Times New Roman"/>
          <w:b/>
          <w:bCs/>
          <w:color w:val="auto"/>
          <w:sz w:val="36"/>
          <w:szCs w:val="36"/>
          <w:highlight w:val="none"/>
          <w:lang w:eastAsia="zh-CN" w:bidi="en-US"/>
        </w:rPr>
        <w:t>出让公告</w:t>
      </w:r>
      <w:bookmarkEnd w:id="0"/>
      <w:bookmarkEnd w:id="1"/>
      <w:bookmarkEnd w:id="2"/>
      <w:bookmarkEnd w:id="3"/>
      <w:bookmarkEnd w:id="4"/>
      <w:bookmarkEnd w:id="5"/>
      <w:bookmarkEnd w:id="6"/>
    </w:p>
    <w:p>
      <w:pPr>
        <w:spacing w:line="240" w:lineRule="auto"/>
        <w:rPr>
          <w:rFonts w:hint="default" w:ascii="Times New Roman" w:hAnsi="Times New Roman" w:cs="Times New Roman"/>
          <w:color w:val="auto"/>
          <w:highlight w:val="none"/>
        </w:rPr>
      </w:pPr>
    </w:p>
    <w:p>
      <w:pPr>
        <w:spacing w:line="240" w:lineRule="auto"/>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rPr>
        <w:t>根据国家和北京市的相关规定，经北京市人民政府批准，北京市规划和自然资源委员会决定</w:t>
      </w:r>
      <w:r>
        <w:rPr>
          <w:rFonts w:hint="default" w:ascii="Times New Roman" w:hAnsi="Times New Roman" w:eastAsia="仿宋_GB2312" w:cs="Times New Roman"/>
          <w:color w:val="auto"/>
          <w:sz w:val="28"/>
          <w:highlight w:val="none"/>
          <w:lang w:val="en-US" w:eastAsia="zh-CN"/>
        </w:rPr>
        <w:t>在</w:t>
      </w:r>
      <w:r>
        <w:rPr>
          <w:rFonts w:hint="default" w:ascii="Times New Roman" w:hAnsi="Times New Roman" w:eastAsia="仿宋_GB2312" w:cs="Times New Roman"/>
          <w:color w:val="auto"/>
          <w:kern w:val="2"/>
          <w:sz w:val="28"/>
          <w:szCs w:val="24"/>
          <w:highlight w:val="none"/>
          <w:lang w:val="en-US" w:eastAsia="zh-CN" w:bidi="ar-SA"/>
        </w:rPr>
        <w:t>北京市丰台区西三环南路1号</w:t>
      </w:r>
      <w:r>
        <w:rPr>
          <w:rFonts w:hint="default" w:ascii="Times New Roman" w:hAnsi="Times New Roman" w:eastAsia="仿宋_GB2312" w:cs="Times New Roman"/>
          <w:color w:val="auto"/>
          <w:sz w:val="28"/>
          <w:highlight w:val="none"/>
        </w:rPr>
        <w:t>市公共资源交易综合分平台五层</w:t>
      </w:r>
      <w:r>
        <w:rPr>
          <w:rFonts w:hint="default" w:ascii="Times New Roman" w:hAnsi="Times New Roman" w:eastAsia="仿宋_GB2312" w:cs="Times New Roman"/>
          <w:color w:val="auto"/>
          <w:kern w:val="2"/>
          <w:sz w:val="28"/>
          <w:szCs w:val="24"/>
          <w:highlight w:val="none"/>
          <w:lang w:val="en-US" w:eastAsia="zh-CN" w:bidi="ar-SA"/>
        </w:rPr>
        <w:t>，</w:t>
      </w:r>
      <w:r>
        <w:rPr>
          <w:rFonts w:hint="default" w:ascii="Times New Roman" w:hAnsi="Times New Roman" w:eastAsia="仿宋_GB2312" w:cs="Times New Roman"/>
          <w:color w:val="auto"/>
          <w:sz w:val="28"/>
          <w:highlight w:val="none"/>
        </w:rPr>
        <w:t>公开挂牌出让北京市丰台区东铁营棚户区改造和环境整治项目FT00-0512-0010、FT00-0512-001</w:t>
      </w:r>
      <w:r>
        <w:rPr>
          <w:rFonts w:hint="default" w:ascii="Times New Roman" w:hAnsi="Times New Roman" w:eastAsia="仿宋_GB2312" w:cs="Times New Roman"/>
          <w:color w:val="auto"/>
          <w:sz w:val="28"/>
          <w:highlight w:val="none"/>
          <w:lang w:val="en-US"/>
        </w:rPr>
        <w:t>5</w:t>
      </w:r>
      <w:r>
        <w:rPr>
          <w:rFonts w:hint="default" w:ascii="Times New Roman" w:hAnsi="Times New Roman" w:eastAsia="仿宋_GB2312" w:cs="Times New Roman"/>
          <w:color w:val="auto"/>
          <w:sz w:val="28"/>
          <w:highlight w:val="none"/>
        </w:rPr>
        <w:t>地块R2二类居住用地国有建设用地使用权。北京市公共资源交易中心负责本次挂牌出让的组织和实施工作</w:t>
      </w:r>
      <w:r>
        <w:rPr>
          <w:rFonts w:hint="default" w:ascii="Times New Roman" w:hAnsi="Times New Roman" w:eastAsia="仿宋_GB2312" w:cs="Times New Roman"/>
          <w:color w:val="auto"/>
          <w:sz w:val="28"/>
          <w:highlight w:val="none"/>
          <w:lang w:eastAsia="zh-CN"/>
        </w:rPr>
        <w:t>。</w:t>
      </w:r>
    </w:p>
    <w:p>
      <w:pPr>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一、宗地基本情况</w:t>
      </w:r>
    </w:p>
    <w:p>
      <w:pPr>
        <w:tabs>
          <w:tab w:val="left" w:pos="1297"/>
        </w:tabs>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本次挂牌出让宗地位于丰台区东铁匠营街道。四至范围详见《“多规合一”协同平台审核意见的函》（京规自（丰）供审函[2024]000</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号）及其附图。</w:t>
      </w:r>
    </w:p>
    <w:p>
      <w:pPr>
        <w:tabs>
          <w:tab w:val="left" w:pos="1297"/>
        </w:tabs>
        <w:spacing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该宗地将以“</w:t>
      </w:r>
      <w:r>
        <w:rPr>
          <w:rFonts w:hint="eastAsia" w:ascii="Times New Roman" w:hAnsi="Times New Roman" w:eastAsia="仿宋_GB2312" w:cs="Times New Roman"/>
          <w:color w:val="auto"/>
          <w:sz w:val="28"/>
          <w:highlight w:val="none"/>
          <w:lang w:eastAsia="zh-CN"/>
        </w:rPr>
        <w:t>七</w:t>
      </w:r>
      <w:r>
        <w:rPr>
          <w:rFonts w:hint="default" w:ascii="Times New Roman" w:hAnsi="Times New Roman" w:eastAsia="仿宋_GB2312" w:cs="Times New Roman"/>
          <w:color w:val="auto"/>
          <w:sz w:val="28"/>
          <w:highlight w:val="none"/>
          <w:lang w:eastAsia="zh-CN"/>
        </w:rPr>
        <w:t>通一平</w:t>
      </w:r>
      <w:r>
        <w:rPr>
          <w:rFonts w:hint="default" w:ascii="Times New Roman" w:hAnsi="Times New Roman" w:eastAsia="仿宋_GB2312" w:cs="Times New Roman"/>
          <w:color w:val="auto"/>
          <w:sz w:val="28"/>
          <w:highlight w:val="none"/>
        </w:rPr>
        <w:t>”形式供地。规划经济技术指标如下表：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2348"/>
        <w:gridCol w:w="1466"/>
        <w:gridCol w:w="1787"/>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jc w:val="center"/>
        </w:trPr>
        <w:tc>
          <w:tcPr>
            <w:tcW w:w="1680" w:type="dxa"/>
            <w:noWrap w:val="0"/>
            <w:vAlign w:val="center"/>
          </w:tcPr>
          <w:p>
            <w:pPr>
              <w:pStyle w:val="4"/>
              <w:spacing w:line="240" w:lineRule="auto"/>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pacing w:val="-4"/>
                <w:sz w:val="24"/>
                <w:highlight w:val="none"/>
              </w:rPr>
              <w:t>挂牌编号</w:t>
            </w:r>
          </w:p>
        </w:tc>
        <w:tc>
          <w:tcPr>
            <w:tcW w:w="2348" w:type="dxa"/>
            <w:noWrap w:val="0"/>
            <w:vAlign w:val="center"/>
          </w:tcPr>
          <w:p>
            <w:pPr>
              <w:pStyle w:val="4"/>
              <w:spacing w:line="240" w:lineRule="auto"/>
              <w:ind w:firstLine="0" w:firstLineChars="0"/>
              <w:jc w:val="center"/>
              <w:rPr>
                <w:rFonts w:hint="default" w:ascii="Times New Roman" w:hAnsi="Times New Roman" w:eastAsia="仿宋_GB2312" w:cs="Times New Roman"/>
                <w:color w:val="auto"/>
                <w:spacing w:val="0"/>
                <w:sz w:val="24"/>
                <w:highlight w:val="none"/>
              </w:rPr>
            </w:pPr>
            <w:r>
              <w:rPr>
                <w:rFonts w:hint="default" w:ascii="Times New Roman" w:hAnsi="Times New Roman" w:eastAsia="仿宋_GB2312" w:cs="Times New Roman"/>
                <w:color w:val="auto"/>
                <w:spacing w:val="0"/>
                <w:sz w:val="24"/>
                <w:highlight w:val="none"/>
              </w:rPr>
              <w:t>用地性质</w:t>
            </w:r>
          </w:p>
        </w:tc>
        <w:tc>
          <w:tcPr>
            <w:tcW w:w="1466" w:type="dxa"/>
            <w:noWrap w:val="0"/>
            <w:vAlign w:val="center"/>
          </w:tcPr>
          <w:p>
            <w:pPr>
              <w:pStyle w:val="4"/>
              <w:spacing w:line="240" w:lineRule="auto"/>
              <w:ind w:firstLine="0" w:firstLineChars="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pacing w:val="-4"/>
                <w:sz w:val="24"/>
                <w:highlight w:val="none"/>
              </w:rPr>
              <w:t>出让年限</w:t>
            </w:r>
          </w:p>
        </w:tc>
        <w:tc>
          <w:tcPr>
            <w:tcW w:w="1787" w:type="dxa"/>
            <w:noWrap w:val="0"/>
            <w:vAlign w:val="center"/>
          </w:tcPr>
          <w:p>
            <w:pPr>
              <w:pStyle w:val="4"/>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lang w:eastAsia="zh-CN"/>
              </w:rPr>
              <w:t>用地规模</w:t>
            </w:r>
          </w:p>
          <w:p>
            <w:pPr>
              <w:pStyle w:val="4"/>
              <w:spacing w:line="240" w:lineRule="auto"/>
              <w:ind w:firstLine="0" w:firstLineChars="0"/>
              <w:jc w:val="center"/>
              <w:rPr>
                <w:rFonts w:hint="default" w:ascii="Times New Roman" w:hAnsi="Times New Roman" w:eastAsia="仿宋_GB2312" w:cs="Times New Roman"/>
                <w:color w:val="auto"/>
                <w:sz w:val="24"/>
                <w:highlight w:val="none"/>
              </w:rPr>
            </w:pPr>
            <w:r>
              <w:rPr>
                <w:rFonts w:hint="eastAsia" w:ascii="Times New Roman" w:hAnsi="Times New Roman" w:eastAsia="仿宋_GB2312" w:cs="Times New Roman"/>
                <w:color w:val="auto"/>
                <w:spacing w:val="-4"/>
                <w:sz w:val="24"/>
                <w:highlight w:val="none"/>
                <w:lang w:eastAsia="zh-CN"/>
              </w:rPr>
              <w:t>（</w:t>
            </w:r>
            <w:r>
              <w:rPr>
                <w:rFonts w:hint="default" w:ascii="Times New Roman" w:hAnsi="Times New Roman" w:eastAsia="仿宋_GB2312" w:cs="Times New Roman"/>
                <w:color w:val="auto"/>
                <w:spacing w:val="-4"/>
                <w:sz w:val="24"/>
                <w:highlight w:val="none"/>
              </w:rPr>
              <w:t>平方米</w:t>
            </w:r>
            <w:r>
              <w:rPr>
                <w:rFonts w:hint="eastAsia" w:ascii="Times New Roman" w:hAnsi="Times New Roman" w:eastAsia="仿宋_GB2312" w:cs="Times New Roman"/>
                <w:color w:val="auto"/>
                <w:spacing w:val="-4"/>
                <w:sz w:val="24"/>
                <w:highlight w:val="none"/>
                <w:lang w:eastAsia="zh-CN"/>
              </w:rPr>
              <w:t>）</w:t>
            </w:r>
          </w:p>
        </w:tc>
        <w:tc>
          <w:tcPr>
            <w:tcW w:w="1739" w:type="dxa"/>
            <w:noWrap w:val="0"/>
            <w:vAlign w:val="center"/>
          </w:tcPr>
          <w:p>
            <w:pPr>
              <w:pStyle w:val="4"/>
              <w:spacing w:line="240" w:lineRule="auto"/>
              <w:ind w:firstLine="0" w:firstLineChars="0"/>
              <w:jc w:val="center"/>
              <w:rPr>
                <w:rFonts w:hint="default"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pacing w:val="-4"/>
                <w:sz w:val="24"/>
                <w:highlight w:val="none"/>
                <w:lang w:val="en-US" w:eastAsia="zh-CN"/>
              </w:rPr>
              <w:t>地上建筑</w:t>
            </w:r>
            <w:r>
              <w:rPr>
                <w:rFonts w:hint="default" w:ascii="Times New Roman" w:hAnsi="Times New Roman" w:eastAsia="仿宋_GB2312" w:cs="Times New Roman"/>
                <w:color w:val="auto"/>
                <w:spacing w:val="-4"/>
                <w:sz w:val="24"/>
                <w:highlight w:val="none"/>
              </w:rPr>
              <w:t>规模</w:t>
            </w:r>
            <w:r>
              <w:rPr>
                <w:rFonts w:hint="default" w:ascii="Times New Roman" w:hAnsi="Times New Roman" w:eastAsia="仿宋_GB2312" w:cs="Times New Roman"/>
                <w:color w:val="auto"/>
                <w:spacing w:val="-4"/>
                <w:sz w:val="24"/>
                <w:highlight w:val="none"/>
              </w:rPr>
              <w:br w:type="textWrapping"/>
            </w:r>
            <w:r>
              <w:rPr>
                <w:rFonts w:hint="eastAsia" w:ascii="Times New Roman" w:hAnsi="Times New Roman" w:eastAsia="仿宋_GB2312" w:cs="Times New Roman"/>
                <w:color w:val="auto"/>
                <w:spacing w:val="-4"/>
                <w:sz w:val="24"/>
                <w:highlight w:val="none"/>
                <w:lang w:eastAsia="zh-CN"/>
              </w:rPr>
              <w:t>（</w:t>
            </w:r>
            <w:r>
              <w:rPr>
                <w:rFonts w:hint="default" w:ascii="Times New Roman" w:hAnsi="Times New Roman" w:eastAsia="仿宋_GB2312" w:cs="Times New Roman"/>
                <w:color w:val="auto"/>
                <w:spacing w:val="-4"/>
                <w:sz w:val="24"/>
                <w:highlight w:val="none"/>
              </w:rPr>
              <w:t>平方米</w:t>
            </w:r>
            <w:r>
              <w:rPr>
                <w:rFonts w:hint="eastAsia" w:ascii="Times New Roman" w:hAnsi="Times New Roman" w:eastAsia="仿宋_GB2312" w:cs="Times New Roman"/>
                <w:color w:val="auto"/>
                <w:spacing w:val="-4"/>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jc w:val="center"/>
        </w:trPr>
        <w:tc>
          <w:tcPr>
            <w:tcW w:w="1680" w:type="dxa"/>
            <w:noWrap w:val="0"/>
            <w:vAlign w:val="center"/>
          </w:tcPr>
          <w:p>
            <w:pPr>
              <w:pStyle w:val="2"/>
              <w:spacing w:line="240" w:lineRule="auto"/>
              <w:ind w:left="-20" w:leftChars="-10" w:hanging="1"/>
              <w:jc w:val="center"/>
              <w:rPr>
                <w:rFonts w:hint="default" w:ascii="Times New Roman" w:hAnsi="Times New Roman" w:eastAsia="仿宋_GB2312" w:cs="Times New Roman"/>
                <w:color w:val="auto"/>
                <w:spacing w:val="-4"/>
                <w:sz w:val="24"/>
                <w:szCs w:val="24"/>
                <w:highlight w:val="none"/>
                <w:lang w:eastAsia="zh-CN"/>
              </w:rPr>
            </w:pPr>
            <w:r>
              <w:rPr>
                <w:rFonts w:hint="default" w:ascii="Times New Roman" w:hAnsi="Times New Roman" w:eastAsia="仿宋_GB2312" w:cs="Times New Roman"/>
                <w:color w:val="auto"/>
                <w:spacing w:val="-4"/>
                <w:sz w:val="24"/>
                <w:szCs w:val="24"/>
                <w:highlight w:val="none"/>
                <w:lang w:eastAsia="zh-CN"/>
              </w:rPr>
              <w:t>京土储挂（</w:t>
            </w:r>
            <w:r>
              <w:rPr>
                <w:rFonts w:hint="eastAsia" w:ascii="Times New Roman" w:hAnsi="Times New Roman" w:eastAsia="仿宋_GB2312" w:cs="Times New Roman"/>
                <w:color w:val="auto"/>
                <w:spacing w:val="-4"/>
                <w:sz w:val="24"/>
                <w:szCs w:val="24"/>
                <w:highlight w:val="none"/>
                <w:lang w:eastAsia="zh-CN"/>
              </w:rPr>
              <w:t>丰</w:t>
            </w:r>
            <w:r>
              <w:rPr>
                <w:rFonts w:hint="default" w:ascii="Times New Roman" w:hAnsi="Times New Roman" w:eastAsia="仿宋_GB2312" w:cs="Times New Roman"/>
                <w:color w:val="auto"/>
                <w:spacing w:val="-4"/>
                <w:sz w:val="24"/>
                <w:szCs w:val="24"/>
                <w:highlight w:val="none"/>
                <w:lang w:eastAsia="zh-CN"/>
              </w:rPr>
              <w:t>）[2024]0</w:t>
            </w:r>
            <w:r>
              <w:rPr>
                <w:rFonts w:hint="default" w:ascii="Times New Roman" w:hAnsi="Times New Roman" w:eastAsia="仿宋_GB2312" w:cs="Times New Roman"/>
                <w:color w:val="auto"/>
                <w:spacing w:val="-4"/>
                <w:sz w:val="24"/>
                <w:szCs w:val="24"/>
                <w:highlight w:val="none"/>
                <w:lang w:val="en-US" w:eastAsia="zh-CN"/>
              </w:rPr>
              <w:t>39</w:t>
            </w:r>
            <w:r>
              <w:rPr>
                <w:rFonts w:hint="default" w:ascii="Times New Roman" w:hAnsi="Times New Roman" w:eastAsia="仿宋_GB2312" w:cs="Times New Roman"/>
                <w:color w:val="auto"/>
                <w:spacing w:val="-4"/>
                <w:sz w:val="24"/>
                <w:szCs w:val="24"/>
                <w:highlight w:val="none"/>
                <w:lang w:eastAsia="zh-CN"/>
              </w:rPr>
              <w:t>号</w:t>
            </w:r>
          </w:p>
        </w:tc>
        <w:tc>
          <w:tcPr>
            <w:tcW w:w="2348" w:type="dxa"/>
            <w:noWrap w:val="0"/>
            <w:vAlign w:val="center"/>
          </w:tcPr>
          <w:p>
            <w:pPr>
              <w:spacing w:line="240" w:lineRule="auto"/>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R2二类居住用地</w:t>
            </w:r>
          </w:p>
        </w:tc>
        <w:tc>
          <w:tcPr>
            <w:tcW w:w="1466" w:type="dxa"/>
            <w:noWrap w:val="0"/>
            <w:vAlign w:val="center"/>
          </w:tcPr>
          <w:p>
            <w:pPr>
              <w:pStyle w:val="4"/>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居住70年</w:t>
            </w:r>
          </w:p>
          <w:p>
            <w:pPr>
              <w:pStyle w:val="4"/>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商业40年</w:t>
            </w:r>
          </w:p>
          <w:p>
            <w:pPr>
              <w:pStyle w:val="4"/>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办公50年</w:t>
            </w:r>
          </w:p>
        </w:tc>
        <w:tc>
          <w:tcPr>
            <w:tcW w:w="1787" w:type="dxa"/>
            <w:noWrap w:val="0"/>
            <w:vAlign w:val="center"/>
          </w:tcPr>
          <w:p>
            <w:pPr>
              <w:spacing w:line="240" w:lineRule="auto"/>
              <w:jc w:val="center"/>
              <w:rPr>
                <w:rFonts w:hint="default" w:ascii="Times New Roman" w:hAnsi="Times New Roman" w:eastAsia="仿宋_GB2312" w:cs="Times New Roman"/>
                <w:color w:val="auto"/>
                <w:sz w:val="24"/>
                <w:highlight w:val="none"/>
                <w:lang w:val="en-US"/>
              </w:rPr>
            </w:pPr>
            <w:r>
              <w:rPr>
                <w:rFonts w:hint="default" w:ascii="Times New Roman" w:hAnsi="Times New Roman" w:eastAsia="仿宋_GB2312" w:cs="Times New Roman"/>
                <w:color w:val="auto"/>
                <w:sz w:val="24"/>
                <w:highlight w:val="none"/>
                <w:lang w:val="en-US"/>
              </w:rPr>
              <w:t>33303.12</w:t>
            </w:r>
          </w:p>
        </w:tc>
        <w:tc>
          <w:tcPr>
            <w:tcW w:w="1739" w:type="dxa"/>
            <w:noWrap w:val="0"/>
            <w:vAlign w:val="center"/>
          </w:tcPr>
          <w:p>
            <w:pPr>
              <w:spacing w:line="240" w:lineRule="auto"/>
              <w:jc w:val="center"/>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72100</w:t>
            </w:r>
          </w:p>
        </w:tc>
      </w:tr>
    </w:tbl>
    <w:p>
      <w:pPr>
        <w:keepNext w:val="0"/>
        <w:keepLines w:val="0"/>
        <w:pageBreakBefore w:val="0"/>
        <w:widowControl w:val="0"/>
        <w:kinsoku/>
        <w:wordWrap/>
        <w:overflowPunct/>
        <w:topLinePunct w:val="0"/>
        <w:autoSpaceDE/>
        <w:autoSpaceDN/>
        <w:bidi w:val="0"/>
        <w:adjustRightInd/>
        <w:snapToGrid/>
        <w:spacing w:beforeLines="0" w:afterLines="0" w:line="240" w:lineRule="auto"/>
        <w:ind w:firstLine="560" w:firstLineChars="200"/>
        <w:textAlignment w:val="auto"/>
        <w:outlineLvl w:val="9"/>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二、挂牌出让起始价为人民币</w:t>
      </w:r>
      <w:r>
        <w:rPr>
          <w:rFonts w:hint="default" w:ascii="Times New Roman" w:hAnsi="Times New Roman" w:eastAsia="仿宋_GB2312" w:cs="Times New Roman"/>
          <w:color w:val="auto"/>
          <w:sz w:val="28"/>
          <w:highlight w:val="none"/>
          <w:lang w:val="en-US"/>
        </w:rPr>
        <w:t>4013</w:t>
      </w:r>
      <w:r>
        <w:rPr>
          <w:rFonts w:hint="default" w:ascii="Times New Roman" w:hAnsi="Times New Roman" w:eastAsia="仿宋_GB2312" w:cs="Times New Roman"/>
          <w:color w:val="auto"/>
          <w:sz w:val="28"/>
          <w:highlight w:val="none"/>
        </w:rPr>
        <w:t xml:space="preserve">00万元，竞价阶梯为人民币   </w:t>
      </w:r>
      <w:r>
        <w:rPr>
          <w:rFonts w:hint="default" w:ascii="Times New Roman" w:hAnsi="Times New Roman" w:eastAsia="仿宋_GB2312" w:cs="Times New Roman"/>
          <w:color w:val="auto"/>
          <w:sz w:val="28"/>
          <w:highlight w:val="none"/>
          <w:lang w:val="en-US" w:eastAsia="zh-CN"/>
        </w:rPr>
        <w:t>410</w:t>
      </w:r>
      <w:r>
        <w:rPr>
          <w:rFonts w:hint="default" w:ascii="Times New Roman" w:hAnsi="Times New Roman" w:eastAsia="仿宋_GB2312" w:cs="Times New Roman"/>
          <w:color w:val="auto"/>
          <w:sz w:val="28"/>
          <w:highlight w:val="none"/>
        </w:rPr>
        <w:t>万元整，竞买保证金为人民币</w:t>
      </w:r>
      <w:r>
        <w:rPr>
          <w:rFonts w:hint="default" w:ascii="Times New Roman" w:hAnsi="Times New Roman" w:eastAsia="仿宋_GB2312" w:cs="Times New Roman"/>
          <w:color w:val="auto"/>
          <w:sz w:val="28"/>
          <w:highlight w:val="none"/>
          <w:lang w:val="en-US"/>
        </w:rPr>
        <w:t>803</w:t>
      </w:r>
      <w:r>
        <w:rPr>
          <w:rFonts w:hint="default" w:ascii="Times New Roman" w:hAnsi="Times New Roman" w:eastAsia="仿宋_GB2312" w:cs="Times New Roman"/>
          <w:color w:val="auto"/>
          <w:sz w:val="28"/>
          <w:highlight w:val="none"/>
        </w:rPr>
        <w:t>00万元。</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三、参加竞买的企业须具有房地产开发资质，可以独立竞买也可以联合竞买，联合竞买的联合体各方须同时具有房地产开发资质。同一企业及其控股的各个公司不得参加同一宗地的竞买。</w:t>
      </w:r>
    </w:p>
    <w:p>
      <w:pPr>
        <w:spacing w:beforeLines="0" w:afterLines="0" w:line="240" w:lineRule="auto"/>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eastAsia="zh-CN"/>
        </w:rPr>
        <w:t>宗地进入现场摇号环节后，同一集团成员企业仅可有一家参与该宗地的摇号，对于多家成员企业同时报名参与摇号的，以企业缴纳保证金（预申请保证金、竞买保证金）到账时间的先后顺序确定摇号资格。联合竞买的，同一集团成员企业仅可组成一个联合体参与同一宗地摇号。同一集团成员企业包括但不限于：与集团公司存在关联关系的公司</w:t>
      </w:r>
      <w:r>
        <w:rPr>
          <w:rFonts w:hint="eastAsia" w:ascii="Times New Roman" w:hAnsi="Times New Roman" w:eastAsia="仿宋_GB2312" w:cs="Times New Roman"/>
          <w:color w:val="auto"/>
          <w:sz w:val="28"/>
          <w:highlight w:val="none"/>
          <w:lang w:eastAsia="zh-CN"/>
        </w:rPr>
        <w:t>（</w:t>
      </w:r>
      <w:r>
        <w:rPr>
          <w:rFonts w:hint="default" w:ascii="Times New Roman" w:hAnsi="Times New Roman" w:eastAsia="仿宋_GB2312" w:cs="Times New Roman"/>
          <w:color w:val="auto"/>
          <w:sz w:val="28"/>
          <w:highlight w:val="none"/>
          <w:lang w:eastAsia="zh-CN"/>
        </w:rPr>
        <w:t>含全资公司、控股公司</w:t>
      </w:r>
      <w:r>
        <w:rPr>
          <w:rFonts w:hint="eastAsia" w:ascii="Times New Roman" w:hAnsi="Times New Roman" w:eastAsia="仿宋_GB2312" w:cs="Times New Roman"/>
          <w:color w:val="auto"/>
          <w:sz w:val="28"/>
          <w:highlight w:val="none"/>
          <w:lang w:eastAsia="zh-CN"/>
        </w:rPr>
        <w:t>）</w:t>
      </w:r>
      <w:r>
        <w:rPr>
          <w:rFonts w:hint="default" w:ascii="Times New Roman" w:hAnsi="Times New Roman" w:eastAsia="仿宋_GB2312" w:cs="Times New Roman"/>
          <w:color w:val="auto"/>
          <w:sz w:val="28"/>
          <w:highlight w:val="none"/>
          <w:lang w:eastAsia="zh-CN"/>
        </w:rPr>
        <w:t>。</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四、本次挂牌出让宗地设定土地合理上限价格</w:t>
      </w:r>
      <w:r>
        <w:rPr>
          <w:rFonts w:hint="default" w:ascii="Times New Roman" w:hAnsi="Times New Roman" w:eastAsia="仿宋_GB2312" w:cs="Times New Roman"/>
          <w:color w:val="auto"/>
          <w:sz w:val="28"/>
          <w:highlight w:val="none"/>
          <w:lang w:val="en-US"/>
        </w:rPr>
        <w:t>461495</w:t>
      </w:r>
      <w:r>
        <w:rPr>
          <w:rFonts w:hint="default" w:ascii="Times New Roman" w:hAnsi="Times New Roman" w:eastAsia="仿宋_GB2312" w:cs="Times New Roman"/>
          <w:color w:val="auto"/>
          <w:sz w:val="28"/>
          <w:highlight w:val="none"/>
        </w:rPr>
        <w:t>万元，当竞买报价达到土地合理上限价格时，则不再接受更高报价，转为现场摇号方式确定竞得人，参与现场摇号的竞买人须提交《高标准住宅建设承诺书》。</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五、竞买人参与宗地出让活动所交竞买保证金及竞得后需支付的全部地价款均为竞买人合规自有资金，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六</w:t>
      </w:r>
      <w:r>
        <w:rPr>
          <w:rFonts w:hint="default" w:ascii="Times New Roman" w:hAnsi="Times New Roman" w:eastAsia="仿宋_GB2312" w:cs="Times New Roman"/>
          <w:color w:val="auto"/>
          <w:sz w:val="28"/>
          <w:highlight w:val="none"/>
        </w:rPr>
        <w:t>、竞得人或竞买人有下列行为之一，视为违约：</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 xml:space="preserve">在宗地竞买期限内要求撤回其竞买报价的; </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提供虚假证明文件或隐瞒事实的；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逾期未签订《国有建设用地使用权出让合同》的（若逾期未签订以上有关合同是由于不可抗力造成的，则本条款不适用）；</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所交竞买保证金及竞得后支付的全部地价款资金来源与承诺不符或违反规定的，或者不配合相关部门对其地价款来源进行取证、审查等工作的；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未遵守本出让交易文件的其他有关规定的。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竞买人或竞得人有上述任一违约行为的，出让人可取消其竞买或竞得资格。竞买人或竞得人须承担相应的经济责任和法律责任，造成损失的，应负赔偿责任。尚未签订《国有建设用地使用权出让合同》的竞得人所交纳的保证金不予退还，已签订《国有建设用地使用权出让合同》的竞得人须以不少于出让宗地保证金金额承担违约责任，同时出让人有权收回出让宗地的国有建设用地使用权，竞得人一年内不得参加北京市土地竞买活动，出让人将竞得人违约行为及处理结果向社会公告。</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七</w:t>
      </w:r>
      <w:r>
        <w:rPr>
          <w:rFonts w:hint="default" w:ascii="Times New Roman" w:hAnsi="Times New Roman" w:eastAsia="仿宋_GB2312" w:cs="Times New Roman"/>
          <w:color w:val="auto"/>
          <w:sz w:val="28"/>
          <w:highlight w:val="none"/>
        </w:rPr>
        <w:t>、本次挂牌出让竞买申请起始时间为202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9月20</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9：00时起，竞买申请截止时间为202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10月22</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1</w:t>
      </w:r>
      <w:r>
        <w:rPr>
          <w:rFonts w:hint="default" w:ascii="Times New Roman" w:hAnsi="Times New Roman" w:eastAsia="仿宋_GB2312" w:cs="Times New Roman"/>
          <w:color w:val="auto"/>
          <w:sz w:val="28"/>
          <w:highlight w:val="none"/>
          <w:lang w:val="en-US" w:eastAsia="zh-CN"/>
        </w:rPr>
        <w:t>7</w:t>
      </w:r>
      <w:r>
        <w:rPr>
          <w:rFonts w:hint="default" w:ascii="Times New Roman" w:hAnsi="Times New Roman" w:eastAsia="仿宋_GB2312" w:cs="Times New Roman"/>
          <w:color w:val="auto"/>
          <w:sz w:val="28"/>
          <w:highlight w:val="none"/>
        </w:rPr>
        <w:t>：00时止；挂牌竞价起始时间为202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10月10</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9：00时起，挂牌竞价截止时间为202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10月23</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15：00时止。</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八</w:t>
      </w:r>
      <w:r>
        <w:rPr>
          <w:rFonts w:hint="default" w:ascii="Times New Roman" w:hAnsi="Times New Roman" w:eastAsia="仿宋_GB2312" w:cs="Times New Roman"/>
          <w:color w:val="auto"/>
          <w:sz w:val="28"/>
          <w:highlight w:val="none"/>
        </w:rPr>
        <w:t>、本次挂牌不接受电话、邮寄及口头报价。</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九</w:t>
      </w:r>
      <w:r>
        <w:rPr>
          <w:rFonts w:hint="default" w:ascii="Times New Roman" w:hAnsi="Times New Roman" w:eastAsia="仿宋_GB2312" w:cs="Times New Roman"/>
          <w:color w:val="auto"/>
          <w:sz w:val="28"/>
          <w:highlight w:val="none"/>
        </w:rPr>
        <w:t>、本次挂牌出让的详细资料和竞买要求请参阅有关挂牌文件。挂牌文件于202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9</w:t>
      </w:r>
      <w:r>
        <w:rPr>
          <w:rFonts w:hint="default"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20</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9:00起，可在北京市规划和自然资源委员会网站（http://ghzrzyw.beijing.gov.cn）</w:t>
      </w:r>
      <w:r>
        <w:rPr>
          <w:rFonts w:hint="default" w:ascii="Times New Roman" w:hAnsi="Times New Roman" w:eastAsia="仿宋_GB2312" w:cs="Times New Roman"/>
          <w:color w:val="auto"/>
          <w:sz w:val="28"/>
          <w:highlight w:val="none"/>
          <w:lang w:eastAsia="zh-CN"/>
        </w:rPr>
        <w:t>或北京市公共资源交易服务平台网站（</w:t>
      </w:r>
      <w:r>
        <w:rPr>
          <w:rFonts w:hint="default" w:ascii="Times New Roman" w:hAnsi="Times New Roman" w:eastAsia="仿宋_GB2312" w:cs="Times New Roman"/>
          <w:color w:val="auto"/>
          <w:sz w:val="28"/>
          <w:highlight w:val="none"/>
        </w:rPr>
        <w:t>http://g</w:t>
      </w:r>
      <w:r>
        <w:rPr>
          <w:rFonts w:hint="default" w:ascii="Times New Roman" w:hAnsi="Times New Roman" w:eastAsia="仿宋_GB2312" w:cs="Times New Roman"/>
          <w:color w:val="auto"/>
          <w:sz w:val="28"/>
          <w:highlight w:val="none"/>
          <w:lang w:val="en-US" w:eastAsia="zh-CN"/>
        </w:rPr>
        <w:t>gzyf</w:t>
      </w:r>
      <w:r>
        <w:rPr>
          <w:rFonts w:hint="default" w:ascii="Times New Roman" w:hAnsi="Times New Roman" w:eastAsia="仿宋_GB2312" w:cs="Times New Roman"/>
          <w:color w:val="auto"/>
          <w:sz w:val="28"/>
          <w:highlight w:val="none"/>
        </w:rPr>
        <w:t>w.beijing.gov.cn</w:t>
      </w:r>
      <w:r>
        <w:rPr>
          <w:rFonts w:hint="default" w:ascii="Times New Roman" w:hAnsi="Times New Roman" w:eastAsia="仿宋_GB2312" w:cs="Times New Roman"/>
          <w:color w:val="auto"/>
          <w:sz w:val="28"/>
          <w:highlight w:val="none"/>
          <w:lang w:eastAsia="zh-CN"/>
        </w:rPr>
        <w:t>）</w:t>
      </w:r>
      <w:r>
        <w:rPr>
          <w:rFonts w:hint="default" w:ascii="Times New Roman" w:hAnsi="Times New Roman" w:eastAsia="仿宋_GB2312" w:cs="Times New Roman"/>
          <w:color w:val="auto"/>
          <w:sz w:val="28"/>
          <w:highlight w:val="none"/>
        </w:rPr>
        <w:t>下载。</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十、房屋销售价格查询方式</w:t>
      </w:r>
    </w:p>
    <w:p>
      <w:pPr>
        <w:pStyle w:val="3"/>
        <w:tabs>
          <w:tab w:val="left" w:pos="1429"/>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竞买人提交的《房屋售价承诺书》涉及的商品房销售均价，可向北京市住房和城乡建设委员会电话咨询，时间202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9月20</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10月22</w:t>
      </w:r>
      <w:r>
        <w:rPr>
          <w:rFonts w:hint="default" w:ascii="Times New Roman" w:hAnsi="Times New Roman" w:eastAsia="仿宋_GB2312" w:cs="Times New Roman"/>
          <w:color w:val="auto"/>
          <w:sz w:val="28"/>
          <w:highlight w:val="none"/>
        </w:rPr>
        <w:t>日，每工作日上午9:30-12:00，下午14:30-17:00，电话：010-55597352、010-55597351。</w:t>
      </w:r>
    </w:p>
    <w:p>
      <w:pPr>
        <w:spacing w:before="0" w:beforeLines="0" w:after="0" w:afterLines="0"/>
        <w:ind w:firstLine="560" w:firstLineChars="200"/>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eastAsia="zh-CN"/>
        </w:rPr>
        <w:t>十一、联系方式</w:t>
      </w:r>
    </w:p>
    <w:p>
      <w:pPr>
        <w:pStyle w:val="3"/>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（一）</w:t>
      </w:r>
      <w:r>
        <w:rPr>
          <w:rFonts w:hint="default" w:ascii="Times New Roman" w:hAnsi="Times New Roman" w:eastAsia="仿宋_GB2312" w:cs="Times New Roman"/>
          <w:color w:val="auto"/>
          <w:sz w:val="28"/>
          <w:highlight w:val="none"/>
          <w:lang w:val="en-US" w:eastAsia="zh-CN"/>
        </w:rPr>
        <w:t>北京市规划和自然资源委员会</w:t>
      </w:r>
    </w:p>
    <w:p>
      <w:pPr>
        <w:pStyle w:val="3"/>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联系方式（项目咨询）：010-55595190、55595188</w:t>
      </w:r>
    </w:p>
    <w:p>
      <w:pPr>
        <w:pStyle w:val="3"/>
        <w:spacing w:beforeLines="0" w:after="0" w:afterLines="0" w:line="240" w:lineRule="auto"/>
        <w:ind w:firstLine="560" w:firstLineChars="200"/>
        <w:rPr>
          <w:rFonts w:hint="default" w:ascii="Times New Roman" w:hAnsi="Times New Roman" w:eastAsia="仿宋_GB2312" w:cs="Times New Roman"/>
          <w:color w:val="auto"/>
          <w:kern w:val="2"/>
          <w:sz w:val="28"/>
          <w:szCs w:val="24"/>
          <w:highlight w:val="none"/>
          <w:lang w:val="en-US" w:eastAsia="zh-CN" w:bidi="ar-SA"/>
        </w:rPr>
      </w:pPr>
      <w:r>
        <w:rPr>
          <w:rFonts w:hint="default" w:ascii="Times New Roman" w:hAnsi="Times New Roman" w:eastAsia="仿宋_GB2312" w:cs="Times New Roman"/>
          <w:color w:val="auto"/>
          <w:kern w:val="2"/>
          <w:sz w:val="28"/>
          <w:szCs w:val="24"/>
          <w:highlight w:val="none"/>
          <w:lang w:val="en-US" w:eastAsia="zh-CN" w:bidi="ar-SA"/>
        </w:rPr>
        <w:t>联系方式（竞买保证金事宜咨询）：010-55595170</w:t>
      </w:r>
    </w:p>
    <w:p>
      <w:pPr>
        <w:pStyle w:val="3"/>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kern w:val="2"/>
          <w:sz w:val="28"/>
          <w:szCs w:val="24"/>
          <w:highlight w:val="none"/>
          <w:lang w:val="en-US" w:eastAsia="zh-CN" w:bidi="ar-SA"/>
        </w:rPr>
        <w:t>联系方式（出让合同签订）：010-55595262；55595359</w:t>
      </w:r>
    </w:p>
    <w:p>
      <w:pPr>
        <w:pStyle w:val="3"/>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地址：北京市通州区承安路1号院</w:t>
      </w:r>
    </w:p>
    <w:p>
      <w:pPr>
        <w:pStyle w:val="3"/>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（二）</w:t>
      </w:r>
      <w:r>
        <w:rPr>
          <w:rFonts w:hint="default" w:ascii="Times New Roman" w:hAnsi="Times New Roman" w:eastAsia="仿宋_GB2312" w:cs="Times New Roman"/>
          <w:color w:val="auto"/>
          <w:sz w:val="28"/>
          <w:highlight w:val="none"/>
          <w:lang w:val="en-US" w:eastAsia="zh-CN"/>
        </w:rPr>
        <w:t>北京市公共资源交易中心</w:t>
      </w:r>
    </w:p>
    <w:p>
      <w:pPr>
        <w:pStyle w:val="3"/>
        <w:spacing w:beforeLines="0" w:after="0" w:afterLines="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联系方式（交易咨询）：010-83916783、83916781</w:t>
      </w:r>
    </w:p>
    <w:p>
      <w:pPr>
        <w:pStyle w:val="3"/>
        <w:spacing w:beforeLines="0" w:after="0" w:afterLines="0" w:line="240" w:lineRule="auto"/>
        <w:ind w:firstLine="560" w:firstLineChars="200"/>
        <w:rPr>
          <w:rFonts w:hint="default" w:ascii="Times New Roman" w:hAnsi="Times New Roman" w:eastAsia="仿宋_GB2312" w:cs="Times New Roman"/>
          <w:color w:val="auto"/>
          <w:kern w:val="2"/>
          <w:sz w:val="28"/>
          <w:szCs w:val="24"/>
          <w:highlight w:val="none"/>
          <w:lang w:val="en-US" w:eastAsia="zh-CN" w:bidi="ar-SA"/>
        </w:rPr>
      </w:pPr>
      <w:r>
        <w:rPr>
          <w:rFonts w:hint="default" w:ascii="Times New Roman" w:hAnsi="Times New Roman" w:eastAsia="仿宋_GB2312" w:cs="Times New Roman"/>
          <w:color w:val="auto"/>
          <w:kern w:val="2"/>
          <w:sz w:val="28"/>
          <w:szCs w:val="24"/>
          <w:highlight w:val="none"/>
          <w:lang w:val="en-US" w:eastAsia="zh-CN" w:bidi="ar-SA"/>
        </w:rPr>
        <w:t>地址：北京市西三环南路1号北京市政务服务中心5层</w:t>
      </w:r>
    </w:p>
    <w:p>
      <w:pPr>
        <w:spacing w:beforeLines="0" w:afterLines="0" w:line="240" w:lineRule="auto"/>
        <w:ind w:right="0" w:firstLine="560" w:firstLineChars="200"/>
        <w:jc w:val="left"/>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val="en-US" w:eastAsia="zh-CN"/>
        </w:rPr>
        <w:t>（三）</w:t>
      </w:r>
      <w:r>
        <w:rPr>
          <w:rFonts w:hint="default" w:ascii="Times New Roman" w:hAnsi="Times New Roman" w:eastAsia="仿宋_GB2312" w:cs="Times New Roman"/>
          <w:color w:val="auto"/>
          <w:sz w:val="28"/>
          <w:highlight w:val="none"/>
        </w:rPr>
        <w:t>北京市</w:t>
      </w:r>
      <w:r>
        <w:rPr>
          <w:rFonts w:hint="eastAsia" w:ascii="Times New Roman" w:hAnsi="Times New Roman" w:eastAsia="仿宋_GB2312" w:cs="Times New Roman"/>
          <w:color w:val="auto"/>
          <w:sz w:val="28"/>
          <w:highlight w:val="none"/>
          <w:lang w:eastAsia="zh-CN"/>
        </w:rPr>
        <w:t>丰台</w:t>
      </w:r>
      <w:r>
        <w:rPr>
          <w:rFonts w:hint="default" w:ascii="Times New Roman" w:hAnsi="Times New Roman" w:eastAsia="仿宋_GB2312" w:cs="Times New Roman"/>
          <w:color w:val="auto"/>
          <w:sz w:val="28"/>
          <w:highlight w:val="none"/>
        </w:rPr>
        <w:t>区规划和自然资源综合事务中心</w:t>
      </w:r>
    </w:p>
    <w:p>
      <w:pPr>
        <w:spacing w:beforeLines="0" w:afterLines="0" w:line="240" w:lineRule="auto"/>
        <w:ind w:right="0" w:firstLine="560" w:firstLineChars="200"/>
        <w:jc w:val="left"/>
        <w:rPr>
          <w:rFonts w:hint="default" w:ascii="Times New Roman" w:hAnsi="Times New Roman" w:eastAsia="仿宋_GB2312" w:cs="Times New Roman"/>
          <w:color w:val="auto"/>
          <w:kern w:val="2"/>
          <w:sz w:val="28"/>
          <w:szCs w:val="24"/>
          <w:highlight w:val="none"/>
          <w:lang w:val="en-US" w:eastAsia="zh-CN" w:bidi="ar-SA"/>
        </w:rPr>
      </w:pPr>
      <w:r>
        <w:rPr>
          <w:rFonts w:hint="default" w:ascii="Times New Roman" w:hAnsi="Times New Roman" w:eastAsia="仿宋_GB2312" w:cs="Times New Roman"/>
          <w:color w:val="auto"/>
          <w:sz w:val="28"/>
          <w:highlight w:val="none"/>
        </w:rPr>
        <w:t>联系方式（现场踏勘）：010-</w:t>
      </w:r>
      <w:r>
        <w:rPr>
          <w:rFonts w:hint="default" w:ascii="Times New Roman" w:hAnsi="Times New Roman" w:eastAsia="仿宋_GB2312" w:cs="Times New Roman"/>
          <w:color w:val="auto"/>
          <w:sz w:val="28"/>
          <w:highlight w:val="none"/>
          <w:lang w:val="en-US"/>
        </w:rPr>
        <w:t>83779713</w:t>
      </w:r>
      <w:r>
        <w:rPr>
          <w:rFonts w:hint="default" w:ascii="Times New Roman" w:hAnsi="Times New Roman" w:eastAsia="仿宋_GB2312" w:cs="Times New Roman"/>
          <w:color w:val="auto"/>
          <w:kern w:val="2"/>
          <w:sz w:val="28"/>
          <w:szCs w:val="24"/>
          <w:highlight w:val="none"/>
          <w:lang w:val="en-US" w:eastAsia="zh-CN" w:bidi="ar-SA"/>
        </w:rPr>
        <w:t>。</w:t>
      </w:r>
    </w:p>
    <w:p>
      <w:pPr>
        <w:spacing w:line="240" w:lineRule="auto"/>
        <w:ind w:right="-108" w:firstLine="560"/>
        <w:jc w:val="left"/>
        <w:rPr>
          <w:rFonts w:hint="default" w:ascii="Times New Roman" w:hAnsi="Times New Roman" w:eastAsia="仿宋_GB2312" w:cs="Times New Roman"/>
          <w:color w:val="auto"/>
          <w:sz w:val="28"/>
          <w:highlight w:val="none"/>
        </w:rPr>
      </w:pPr>
    </w:p>
    <w:p>
      <w:pPr>
        <w:wordWrap w:val="0"/>
        <w:spacing w:line="240" w:lineRule="auto"/>
        <w:jc w:val="right"/>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 xml:space="preserve">                  北京市规划和自然资源委员会</w:t>
      </w:r>
      <w:r>
        <w:rPr>
          <w:rFonts w:hint="default" w:ascii="Times New Roman" w:hAnsi="Times New Roman" w:eastAsia="仿宋_GB2312" w:cs="Times New Roman"/>
          <w:color w:val="auto"/>
          <w:sz w:val="28"/>
          <w:highlight w:val="none"/>
          <w:lang w:val="en-US"/>
        </w:rPr>
        <w:t xml:space="preserve">  </w:t>
      </w:r>
    </w:p>
    <w:p>
      <w:pPr>
        <w:wordWrap w:val="0"/>
        <w:spacing w:line="240" w:lineRule="auto"/>
        <w:jc w:val="right"/>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val="en-US" w:eastAsia="zh-CN"/>
        </w:rPr>
        <w:t xml:space="preserve">              </w:t>
      </w:r>
      <w:r>
        <w:rPr>
          <w:rFonts w:hint="default" w:ascii="Times New Roman" w:hAnsi="Times New Roman" w:eastAsia="仿宋_GB2312" w:cs="Times New Roman"/>
          <w:color w:val="auto"/>
          <w:sz w:val="28"/>
          <w:highlight w:val="none"/>
        </w:rPr>
        <w:t>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default" w:ascii="Times New Roman" w:hAnsi="Times New Roman" w:eastAsia="仿宋_GB2312" w:cs="Times New Roman"/>
          <w:color w:val="auto"/>
          <w:sz w:val="28"/>
          <w:highlight w:val="none"/>
          <w:lang w:val="en-US" w:eastAsia="zh-CN"/>
        </w:rPr>
        <w:t>9</w:t>
      </w:r>
      <w:r>
        <w:rPr>
          <w:rFonts w:hint="default" w:ascii="Times New Roman" w:hAnsi="Times New Roman" w:eastAsia="仿宋_GB2312" w:cs="Times New Roman"/>
          <w:color w:val="auto"/>
          <w:sz w:val="28"/>
          <w:highlight w:val="none"/>
          <w:lang w:eastAsia="zh-CN"/>
        </w:rPr>
        <w:t>月</w:t>
      </w:r>
      <w:r>
        <w:rPr>
          <w:rFonts w:hint="default" w:ascii="Times New Roman" w:hAnsi="Times New Roman" w:eastAsia="仿宋_GB2312" w:cs="Times New Roman"/>
          <w:color w:val="auto"/>
          <w:sz w:val="28"/>
          <w:highlight w:val="none"/>
          <w:lang w:val="en-US" w:eastAsia="zh-CN"/>
        </w:rPr>
        <w:t>20</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lang w:val="en-US" w:eastAsia="zh-CN"/>
        </w:rPr>
        <w:t xml:space="preserve">     </w:t>
      </w:r>
    </w:p>
    <w:p>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01230B"/>
    <w:rsid w:val="65012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3">
    <w:name w:val="Body Text"/>
    <w:basedOn w:val="1"/>
    <w:qFormat/>
    <w:uiPriority w:val="0"/>
    <w:pPr>
      <w:spacing w:after="120"/>
    </w:pPr>
  </w:style>
  <w:style w:type="paragraph" w:styleId="4">
    <w:name w:val="Body Text Indent 3"/>
    <w:basedOn w:val="1"/>
    <w:qFormat/>
    <w:uiPriority w:val="0"/>
    <w:pPr>
      <w:ind w:firstLine="727" w:firstLineChars="202"/>
    </w:pPr>
    <w:rPr>
      <w:rFonts w:ascii="楷体_GB2312" w:eastAsia="楷体_GB2312"/>
      <w:spacing w:val="20"/>
      <w:kern w:val="15"/>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2024-09-19T06:25:00Z</dcterms:created>
  <dc:creator>张茜</dc:creator>
  <cp:lastModifiedBy>张茜</cp:lastModifiedBy>
  <dcterms:modified xsi:type="dcterms:W3CDTF">2024-09-19T06:25:55Z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48C7C63066444DA39D06794B0B563753</vt:lpwstr>
  </property>
</Properties>
</file>